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产品说明文档规范</w:t>
      </w:r>
    </w:p>
    <w:p/>
    <w:p>
      <w:pPr>
        <w:jc w:val="center"/>
      </w:pPr>
      <w:r>
        <w:rPr>
          <w:rFonts w:hint="eastAsia"/>
        </w:rPr>
        <w:t>表1</w:t>
      </w:r>
      <w:r>
        <w:t xml:space="preserve"> </w:t>
      </w:r>
      <w:r>
        <w:rPr>
          <w:rFonts w:hint="eastAsia"/>
        </w:rPr>
        <w:t>产品说明文档内容</w:t>
      </w:r>
    </w:p>
    <w:tbl>
      <w:tblPr>
        <w:tblStyle w:val="8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127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类别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必选（M）/可选（O）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一、产品基本信息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1产品中文名称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青藏高原卫星云雷达探测的云廓线数据集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2产品英文名称或缩写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ascii="宋体" w:hAnsi="宋体"/>
              </w:rPr>
              <w:t xml:space="preserve">Cloud Profile </w:t>
            </w:r>
            <w:r>
              <w:rPr>
                <w:rFonts w:hint="eastAsia" w:ascii="宋体" w:hAnsi="宋体"/>
              </w:rPr>
              <w:t>of Cloud Radar（</w:t>
            </w:r>
            <w:r>
              <w:t>CPCR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3</w:t>
            </w:r>
            <w:r>
              <w:rPr>
                <w:rFonts w:hint="eastAsia"/>
              </w:rPr>
              <w:t>产品简介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所用资料：</w:t>
            </w:r>
            <w:r>
              <w:rPr>
                <w:rFonts w:ascii="Times New Roman" w:hAnsi="Times New Roman"/>
                <w:szCs w:val="21"/>
              </w:rPr>
              <w:t>2B-GEOPROF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Style w:val="23"/>
                <w:sz w:val="21"/>
                <w:szCs w:val="21"/>
              </w:rPr>
              <w:t>2B-CWC-RO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2B-GEOPROF</w:t>
            </w:r>
            <w:r>
              <w:rPr>
                <w:rFonts w:hint="eastAsia" w:ascii="Times New Roman" w:hAnsi="Times New Roman"/>
                <w:szCs w:val="21"/>
              </w:rPr>
              <w:t>是根据</w:t>
            </w:r>
            <w:r>
              <w:rPr>
                <w:rFonts w:ascii="Times New Roman" w:hAnsi="Times New Roman"/>
                <w:szCs w:val="21"/>
              </w:rPr>
              <w:t>1B-CPR</w:t>
            </w:r>
            <w:r>
              <w:rPr>
                <w:rFonts w:hint="eastAsia" w:ascii="Times New Roman" w:hAnsi="Times New Roman"/>
                <w:szCs w:val="21"/>
              </w:rPr>
              <w:t>产品在</w:t>
            </w:r>
            <w:r>
              <w:rPr>
                <w:rFonts w:ascii="Times New Roman" w:hAnsi="Times New Roman"/>
                <w:szCs w:val="21"/>
              </w:rPr>
              <w:t>MODIS</w:t>
            </w:r>
            <w:r>
              <w:rPr>
                <w:rFonts w:hint="eastAsia" w:ascii="Times New Roman" w:hAnsi="Times New Roman"/>
                <w:szCs w:val="21"/>
              </w:rPr>
              <w:t>提供的云水平分布、云量等协同观测数据基础上，采用</w:t>
            </w:r>
            <w:r>
              <w:rPr>
                <w:rFonts w:ascii="Times New Roman" w:hAnsi="Times New Roman"/>
                <w:szCs w:val="21"/>
              </w:rPr>
              <w:t xml:space="preserve"> GEOPRO </w:t>
            </w:r>
            <w:r>
              <w:rPr>
                <w:rFonts w:hint="eastAsia" w:ascii="Times New Roman" w:hAnsi="Times New Roman"/>
                <w:szCs w:val="21"/>
              </w:rPr>
              <w:t>方法反演云量、气体衰减和雷达反射率因子的信息，其能提供云的几何廓线。</w:t>
            </w:r>
            <w:r>
              <w:rPr>
                <w:rFonts w:ascii="Times New Roman" w:hAnsi="Times New Roman"/>
                <w:szCs w:val="21"/>
              </w:rPr>
              <w:t xml:space="preserve">2B-CWC-RO </w:t>
            </w:r>
            <w:r>
              <w:rPr>
                <w:rFonts w:hint="eastAsia" w:ascii="Times New Roman" w:hAnsi="Times New Roman"/>
                <w:szCs w:val="21"/>
              </w:rPr>
              <w:t>产品是由</w:t>
            </w:r>
            <w:r>
              <w:rPr>
                <w:rFonts w:ascii="Times New Roman" w:hAnsi="Times New Roman"/>
                <w:szCs w:val="21"/>
              </w:rPr>
              <w:t xml:space="preserve"> 2B-GEOPROF 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 xml:space="preserve"> 2B-CLDCLASS </w:t>
            </w:r>
            <w:r>
              <w:rPr>
                <w:rFonts w:hint="eastAsia" w:ascii="Times New Roman" w:hAnsi="Times New Roman"/>
                <w:szCs w:val="21"/>
              </w:rPr>
              <w:t>资料以及</w:t>
            </w:r>
            <w:r>
              <w:rPr>
                <w:rFonts w:ascii="Times New Roman" w:hAnsi="Times New Roman"/>
                <w:szCs w:val="21"/>
              </w:rPr>
              <w:t xml:space="preserve"> ECMWF</w:t>
            </w:r>
            <w:r>
              <w:rPr>
                <w:rFonts w:hint="eastAsia" w:ascii="Times New Roman" w:hAnsi="Times New Roman"/>
                <w:szCs w:val="21"/>
              </w:rPr>
              <w:t>的辅助数据生成，得到的水凝物的含水量、数浓度及有效半径的信息。</w:t>
            </w:r>
          </w:p>
          <w:p>
            <w:r>
              <w:rPr>
                <w:rFonts w:hint="eastAsia" w:ascii="Times New Roman" w:hAnsi="Times New Roman"/>
                <w:szCs w:val="21"/>
              </w:rPr>
              <w:t>方法：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对逐日逐轨的数据采用了格点化方法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4</w:t>
            </w:r>
            <w:r>
              <w:rPr>
                <w:rFonts w:hint="eastAsia"/>
              </w:rPr>
              <w:t>产品大类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>青藏高原计划项目分析产品（PANA）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产品子类</w:t>
            </w:r>
          </w:p>
        </w:tc>
        <w:tc>
          <w:tcPr>
            <w:tcW w:w="1276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6数据属性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7 关键词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青藏高原；云雷达；云水含量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8产品制作时间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2</w:t>
            </w:r>
            <w:r>
              <w:t>017年12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9 产品发布时间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 数据源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961" w:type="dxa"/>
            <w:shd w:val="clear" w:color="auto" w:fill="auto"/>
          </w:tcPr>
          <w:p>
            <w:pPr>
              <w:pStyle w:val="19"/>
              <w:ind w:firstLine="0" w:firstLineChars="0"/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2B-GEOPROF&amp;2B-CWC-RO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11时间</w:t>
            </w:r>
            <w:r>
              <w:rPr>
                <w:color w:val="000000"/>
              </w:rPr>
              <w:t>属性</w:t>
            </w:r>
          </w:p>
        </w:tc>
        <w:tc>
          <w:tcPr>
            <w:tcW w:w="127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000000"/>
                <w:highlight w:val="red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11.1 产品时制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世界时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11.2 时间</w:t>
            </w:r>
            <w:r>
              <w:rPr>
                <w:color w:val="000000"/>
              </w:rPr>
              <w:t>范围</w:t>
            </w:r>
          </w:p>
        </w:tc>
        <w:tc>
          <w:tcPr>
            <w:tcW w:w="1276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</w:rPr>
              <w:t>2</w:t>
            </w:r>
            <w:r>
              <w:t>007年</w:t>
            </w:r>
            <w:r>
              <w:rPr>
                <w:rFonts w:hint="eastAsia"/>
              </w:rPr>
              <w:t>1月至20</w:t>
            </w:r>
            <w:r>
              <w:t>10</w:t>
            </w:r>
            <w:r>
              <w:rPr>
                <w:rFonts w:hint="eastAsia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时间分辨率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逐月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11.4 统计频次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12</w:t>
            </w:r>
            <w:r>
              <w:t xml:space="preserve"> </w:t>
            </w:r>
            <w:r>
              <w:rPr>
                <w:rFonts w:hint="eastAsia"/>
              </w:rPr>
              <w:t>空间属性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12.1 地理</w:t>
            </w:r>
            <w:r>
              <w:t>范围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61.25°-118.75°E；21.25°-48.75°N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12.2</w:t>
            </w:r>
            <w:r>
              <w:t xml:space="preserve"> </w:t>
            </w:r>
            <w:r>
              <w:rPr>
                <w:rFonts w:hint="eastAsia"/>
              </w:rPr>
              <w:t>空间</w:t>
            </w:r>
            <w:r>
              <w:t>分辨率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</w:pPr>
            <w:r>
              <w:rPr>
                <w:rFonts w:hint="eastAsia"/>
              </w:rPr>
              <w:t>水平分辨率2</w:t>
            </w:r>
            <w:r>
              <w:t>.5°×2.5°</w:t>
            </w:r>
            <w:r>
              <w:rPr>
                <w:rFonts w:hint="eastAsia"/>
              </w:rPr>
              <w:t>，格点数：</w:t>
            </w:r>
            <w:r>
              <w:t>24</w:t>
            </w:r>
            <w:r>
              <w:rPr>
                <w:rFonts w:hint="eastAsia"/>
              </w:rPr>
              <w:t>×</w:t>
            </w:r>
            <w:r>
              <w:t>12</w:t>
            </w:r>
            <w:r>
              <w:rPr>
                <w:rFonts w:hint="eastAsia"/>
              </w:rPr>
              <w:t>；垂直分辨率：250</w:t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12.</w:t>
            </w:r>
            <w:r>
              <w:t>3</w:t>
            </w:r>
            <w:r>
              <w:rPr>
                <w:rFonts w:hint="eastAsia"/>
              </w:rPr>
              <w:t xml:space="preserve"> 垂直</w:t>
            </w:r>
            <w:r>
              <w:t>范围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</w:pPr>
            <w:r>
              <w:rPr>
                <w:rFonts w:hint="eastAsia"/>
              </w:rPr>
              <w:t>0.125-19.875km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12.</w:t>
            </w:r>
            <w:r>
              <w:t>4</w:t>
            </w:r>
            <w:r>
              <w:rPr>
                <w:rFonts w:hint="eastAsia"/>
              </w:rPr>
              <w:t xml:space="preserve"> 投影</w:t>
            </w:r>
            <w:r>
              <w:t>方式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 xml:space="preserve"> 其他信息</w:t>
            </w:r>
          </w:p>
        </w:tc>
        <w:tc>
          <w:tcPr>
            <w:tcW w:w="1276" w:type="dxa"/>
          </w:tcPr>
          <w:p/>
        </w:tc>
        <w:tc>
          <w:tcPr>
            <w:tcW w:w="4961" w:type="dxa"/>
          </w:tcPr>
          <w:p>
            <w:pPr>
              <w:pStyle w:val="1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二、文件格式信息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1文件格式的详细描述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二进制b</w:t>
            </w:r>
            <w:r>
              <w:t>in格式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3数据集读取程序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>F</w:t>
            </w:r>
            <w:r>
              <w:rPr>
                <w:rFonts w:hint="eastAsia"/>
              </w:rPr>
              <w:t>ortran</w:t>
            </w:r>
          </w:p>
          <w:p>
            <w:r>
              <w:rPr>
                <w:rFonts w:hint="eastAsia"/>
              </w:rPr>
              <w:t xml:space="preserve">      implicit none</w:t>
            </w:r>
          </w:p>
          <w:p>
            <w:r>
              <w:rPr>
                <w:rFonts w:hint="eastAsia"/>
              </w:rPr>
              <w:t xml:space="preserve">      integer*2  i, j, k</w:t>
            </w:r>
          </w:p>
          <w:p/>
          <w:p>
            <w:r>
              <w:rPr>
                <w:rFonts w:hint="eastAsia"/>
              </w:rPr>
              <w:t xml:space="preserve">       real*4 tot(24,12),v1(24,12,80),v2(24,12,80),v3(24,12,80),v4(24,12,80)</w:t>
            </w:r>
          </w:p>
          <w:p>
            <w:r>
              <w:rPr>
                <w:rFonts w:hint="eastAsia"/>
              </w:rPr>
              <w:t xml:space="preserve">       real*4 v5(24,12,80),v6(24,12,80),v7(24,12,80)</w:t>
            </w:r>
          </w:p>
          <w:p>
            <w:r>
              <w:rPr>
                <w:rFonts w:hint="eastAsia"/>
              </w:rPr>
              <w:t xml:space="preserve">       real*4 n1(24,12,80),n2(24,12,80),n3(24,12,80),n4(24,12,80)</w:t>
            </w:r>
          </w:p>
          <w:p>
            <w:r>
              <w:rPr>
                <w:rFonts w:hint="eastAsia"/>
              </w:rPr>
              <w:t xml:space="preserve">       real*4 n5(24,12,80),n6(24,12,80),n7(24,12,80)</w:t>
            </w:r>
          </w:p>
          <w:p>
            <w:r>
              <w:rPr>
                <w:rFonts w:hint="eastAsia"/>
              </w:rPr>
              <w:t xml:space="preserve">       real*4 LWP(24,12),IWP(24,12),LWPN(24,12),IWPN(24,12)</w:t>
            </w:r>
          </w:p>
          <w:p>
            <w:r>
              <w:rPr>
                <w:rFonts w:hint="eastAsia"/>
              </w:rPr>
              <w:t xml:space="preserve">      </w:t>
            </w:r>
          </w:p>
          <w:p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</w:t>
            </w:r>
          </w:p>
          <w:p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open(14,file="./LWP/200706-LWP.bin",&amp;</w:t>
            </w:r>
          </w:p>
          <w:p>
            <w:r>
              <w:rPr>
                <w:rFonts w:hint="eastAsia"/>
              </w:rPr>
              <w:t xml:space="preserve">          form='unformatted',access='direct',recl=24*12*4)</w:t>
            </w:r>
          </w:p>
          <w:p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read(14,rec=1)tot</w:t>
            </w:r>
          </w:p>
          <w:p>
            <w:r>
              <w:rPr>
                <w:rFonts w:hint="eastAsia"/>
              </w:rPr>
              <w:t xml:space="preserve">          read(14,rec=2)LWP</w:t>
            </w:r>
          </w:p>
          <w:p>
            <w:r>
              <w:rPr>
                <w:rFonts w:hint="eastAsia"/>
              </w:rPr>
              <w:t xml:space="preserve">          read(14,rec=3)IWP</w:t>
            </w:r>
          </w:p>
          <w:p>
            <w:r>
              <w:rPr>
                <w:rFonts w:hint="eastAsia"/>
              </w:rPr>
              <w:t xml:space="preserve">          read(14,rec=4)LWPN</w:t>
            </w:r>
          </w:p>
          <w:p>
            <w:r>
              <w:rPr>
                <w:rFonts w:hint="eastAsia"/>
              </w:rPr>
              <w:t xml:space="preserve">          read(14,rec=5)IWPN</w:t>
            </w:r>
          </w:p>
          <w:p>
            <w:r>
              <w:rPr>
                <w:rFonts w:hint="eastAsia"/>
              </w:rPr>
              <w:t xml:space="preserve">          close(14)</w:t>
            </w:r>
          </w:p>
          <w:p/>
          <w:p>
            <w:r>
              <w:rPr>
                <w:rFonts w:hint="eastAsia"/>
              </w:rPr>
              <w:t xml:space="preserve">          open(15,file="./REF/200706-REF.bin",&amp;</w:t>
            </w:r>
          </w:p>
          <w:p>
            <w:r>
              <w:rPr>
                <w:rFonts w:hint="eastAsia"/>
              </w:rPr>
              <w:t xml:space="preserve">          form='unformatted',access='direct',recl=24*12*4*80)</w:t>
            </w:r>
          </w:p>
          <w:p>
            <w:r>
              <w:rPr>
                <w:rFonts w:hint="eastAsia"/>
              </w:rPr>
              <w:t xml:space="preserve">          read(15,rec=1)v1</w:t>
            </w:r>
          </w:p>
          <w:p>
            <w:r>
              <w:rPr>
                <w:rFonts w:hint="eastAsia"/>
              </w:rPr>
              <w:t xml:space="preserve">          read(15,rec=2)v2</w:t>
            </w:r>
          </w:p>
          <w:p>
            <w:r>
              <w:rPr>
                <w:rFonts w:hint="eastAsia"/>
              </w:rPr>
              <w:t xml:space="preserve">          read(15,rec=3)v3</w:t>
            </w:r>
          </w:p>
          <w:p>
            <w:r>
              <w:rPr>
                <w:rFonts w:hint="eastAsia"/>
              </w:rPr>
              <w:t xml:space="preserve">          read(15,rec=4)v4</w:t>
            </w:r>
          </w:p>
          <w:p>
            <w:r>
              <w:rPr>
                <w:rFonts w:hint="eastAsia"/>
              </w:rPr>
              <w:t xml:space="preserve">          read(15,rec=5)v5</w:t>
            </w:r>
          </w:p>
          <w:p>
            <w:r>
              <w:rPr>
                <w:rFonts w:hint="eastAsia"/>
              </w:rPr>
              <w:t xml:space="preserve">          read(15,rec=6)v6</w:t>
            </w:r>
          </w:p>
          <w:p>
            <w:r>
              <w:rPr>
                <w:rFonts w:hint="eastAsia"/>
              </w:rPr>
              <w:t xml:space="preserve">          read(15,rec=7)v7</w:t>
            </w:r>
          </w:p>
          <w:p>
            <w:r>
              <w:rPr>
                <w:rFonts w:hint="eastAsia"/>
              </w:rPr>
              <w:t xml:space="preserve">          read(15,rec=8)n1</w:t>
            </w:r>
          </w:p>
          <w:p>
            <w:r>
              <w:rPr>
                <w:rFonts w:hint="eastAsia"/>
              </w:rPr>
              <w:t xml:space="preserve">          read(15,rec=9)n2</w:t>
            </w:r>
          </w:p>
          <w:p>
            <w:r>
              <w:rPr>
                <w:rFonts w:hint="eastAsia"/>
              </w:rPr>
              <w:t xml:space="preserve">          read(15,rec=10)n3</w:t>
            </w:r>
          </w:p>
          <w:p>
            <w:r>
              <w:rPr>
                <w:rFonts w:hint="eastAsia"/>
              </w:rPr>
              <w:t xml:space="preserve">          read(15,rec=11)n4</w:t>
            </w:r>
          </w:p>
          <w:p>
            <w:r>
              <w:rPr>
                <w:rFonts w:hint="eastAsia"/>
              </w:rPr>
              <w:t xml:space="preserve">          read(15,rec=12)n5</w:t>
            </w:r>
          </w:p>
          <w:p>
            <w:r>
              <w:rPr>
                <w:rFonts w:hint="eastAsia"/>
              </w:rPr>
              <w:t xml:space="preserve">          read(15,rec=13)n6</w:t>
            </w:r>
          </w:p>
          <w:p>
            <w:r>
              <w:rPr>
                <w:rFonts w:hint="eastAsia"/>
              </w:rPr>
              <w:t xml:space="preserve">          read(15,rec=14)n7</w:t>
            </w:r>
          </w:p>
          <w:p>
            <w:r>
              <w:rPr>
                <w:rFonts w:hint="eastAsia"/>
              </w:rPr>
              <w:t xml:space="preserve">          close(15)</w:t>
            </w:r>
          </w:p>
          <w:p>
            <w:r>
              <w:rPr>
                <w:rFonts w:hint="eastAsia"/>
              </w:rPr>
              <w:t xml:space="preserve">      stop</w:t>
            </w:r>
          </w:p>
          <w:p>
            <w:r>
              <w:rPr>
                <w:rFonts w:hint="eastAsia"/>
              </w:rPr>
              <w:t xml:space="preserve">      end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4数据集总数据量大小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 xml:space="preserve">14.1 </w:t>
            </w:r>
            <w:r>
              <w:rPr>
                <w:rFonts w:hint="eastAsia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5</w:t>
            </w:r>
            <w:r>
              <w:rPr>
                <w:rFonts w:hint="eastAsia"/>
              </w:rPr>
              <w:t>文件名编码说明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PANA</w:t>
            </w:r>
            <w:r>
              <w:t>_CPCR</w:t>
            </w:r>
            <w:r>
              <w:rPr>
                <w:rFonts w:hint="eastAsia"/>
              </w:rPr>
              <w:t>_TIB</w:t>
            </w:r>
            <w:r>
              <w:t>_LWP</w:t>
            </w:r>
            <w:r>
              <w:rPr>
                <w:rFonts w:hint="eastAsia"/>
              </w:rPr>
              <w:t>_</w:t>
            </w:r>
            <w:r>
              <w:t>MON</w:t>
            </w:r>
            <w:r>
              <w:rPr>
                <w:rFonts w:hint="eastAsia"/>
              </w:rPr>
              <w:t>_</w:t>
            </w:r>
            <w:r>
              <w:t>PR</w:t>
            </w:r>
            <w:r>
              <w:rPr>
                <w:rFonts w:hint="eastAsia"/>
              </w:rPr>
              <w:t>-</w:t>
            </w:r>
            <w:r>
              <w:t xml:space="preserve">YYYYMM </w:t>
            </w:r>
          </w:p>
          <w:p>
            <w:r>
              <w:rPr>
                <w:rFonts w:hint="eastAsia"/>
              </w:rPr>
              <w:t>PANA</w:t>
            </w:r>
            <w:r>
              <w:t>_CPCR</w:t>
            </w:r>
            <w:r>
              <w:rPr>
                <w:rFonts w:hint="eastAsia"/>
              </w:rPr>
              <w:t>_TIB</w:t>
            </w:r>
            <w:r>
              <w:t>_REF</w:t>
            </w:r>
            <w:r>
              <w:rPr>
                <w:rFonts w:hint="eastAsia"/>
              </w:rPr>
              <w:t>_</w:t>
            </w:r>
            <w:r>
              <w:t>MON</w:t>
            </w:r>
            <w:r>
              <w:rPr>
                <w:rFonts w:hint="eastAsia"/>
              </w:rPr>
              <w:t>_</w:t>
            </w:r>
            <w:r>
              <w:t>PR</w:t>
            </w:r>
            <w:r>
              <w:rPr>
                <w:rFonts w:hint="eastAsia"/>
              </w:rPr>
              <w:t>-</w:t>
            </w:r>
            <w:r>
              <w:t xml:space="preserve">YYYYMM </w:t>
            </w:r>
          </w:p>
          <w:p>
            <w:r>
              <w:t>PANA</w:t>
            </w:r>
            <w:r>
              <w:rPr>
                <w:rFonts w:hint="eastAsia"/>
              </w:rPr>
              <w:t>：</w:t>
            </w:r>
            <w:r>
              <w:t>青藏高原计划项目分析产品</w:t>
            </w:r>
          </w:p>
          <w:p>
            <w:r>
              <w:t>CPCR</w:t>
            </w:r>
            <w:r>
              <w:rPr>
                <w:rFonts w:hint="eastAsia"/>
              </w:rPr>
              <w:t>：云雷达廓线</w:t>
            </w:r>
          </w:p>
          <w:p>
            <w:r>
              <w:t>TIB</w:t>
            </w:r>
            <w:r>
              <w:rPr>
                <w:rFonts w:hint="eastAsia"/>
              </w:rPr>
              <w:t>：区域属性为青藏高原</w:t>
            </w:r>
          </w:p>
          <w:p>
            <w:r>
              <w:t>LWP</w:t>
            </w:r>
            <w:r>
              <w:rPr>
                <w:rFonts w:hint="eastAsia"/>
              </w:rPr>
              <w:t>：产品要素属性为云水含量</w:t>
            </w:r>
          </w:p>
          <w:p>
            <w:r>
              <w:rPr>
                <w:rFonts w:hint="eastAsia"/>
              </w:rPr>
              <w:t>REF：产品要素属性为云雷达反射率廓线</w:t>
            </w:r>
          </w:p>
          <w:p>
            <w:r>
              <w:t>MON</w:t>
            </w:r>
            <w:r>
              <w:rPr>
                <w:rFonts w:hint="eastAsia"/>
              </w:rPr>
              <w:t>：</w:t>
            </w:r>
            <w:r>
              <w:t>产品时间分辨率为逐日数据</w:t>
            </w:r>
          </w:p>
          <w:p>
            <w:r>
              <w:t>PR</w:t>
            </w:r>
            <w:r>
              <w:rPr>
                <w:rFonts w:hint="eastAsia"/>
              </w:rPr>
              <w:t>：产品层次属性为气压层</w:t>
            </w:r>
          </w:p>
          <w:p>
            <w:r>
              <w:t>YYYYMM</w:t>
            </w:r>
            <w:r>
              <w:rPr>
                <w:rFonts w:hint="eastAsia"/>
              </w:rPr>
              <w:t>：产品</w:t>
            </w:r>
            <w: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三、产品研制技术</w:t>
            </w:r>
          </w:p>
        </w:tc>
        <w:tc>
          <w:tcPr>
            <w:tcW w:w="2268" w:type="dxa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1产品制作情况简介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 xml:space="preserve"> 利用CloudSat卫星搭载的测云雷达（CPR）探测的逐日逐轨道云廓形数据（每日约15轨，4年共21276轨（其中2009年末至2010年初约30天无数据文件）做算术平均，在范围（61.25E-118.75E，21.25N-- 48.75N）内，计算得到分辨率为2.5度的格点数据：月平均云水冰水数据集 （共48个二进制格式文件 ，其中参量有：(tot) 各格点内月总探测样本数、各格点内月平均液态水路径、各格点内月平均冰水路径、 各格点内计算平均月液态水路径的样本数、各格点内计算平均月冰水路径的样本数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highlight w:val="yellow"/>
              </w:rPr>
            </w:pPr>
            <w:r>
              <w:rPr>
                <w:rFonts w:hint="eastAsia"/>
                <w:highlight w:val="none"/>
              </w:rPr>
              <w:t>2数据处理方法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Times New Roman" w:hAnsi="Times New Roman" w:eastAsiaTheme="minorEastAsia"/>
                <w:b/>
              </w:rPr>
            </w:pPr>
            <w:r>
              <w:rPr>
                <w:rFonts w:hint="eastAsia"/>
                <w:b w:val="0"/>
              </w:rPr>
              <w:t>2B-CWC-RO数据产品反演的主要流程如下：首先根据 2B-GEOPROF 产品给出的云盖（Cloud mask）判定扫描廓线上出现云的高度，通过 2B-CLDCLASS 产品去除廓线中有问题的部分，然后根据气温等指标设定液态水/冰水粒子的粒径分布参数的初始值，结合初始值和2B-GEOPROF 给出的雷达探测结果计算出不同垂直高度上液态水/冰水粒子的粒径分布参数，进而计算出冰云和水云的有效半径、云水含量等云物理量值，最后根据 ECMWF 模式的温度情况（温度小于－20 °C 为冰云，大于 0 ，大于为水云，－20～0 云，－之间为混合相云）分别得出冰云和水云云物理量的垂直廓线。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3特殊情况处理（可选）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4其他说明（可选）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数据一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200706-LWP.bin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 xml:space="preserve">变量1 (tot) 各格点内月总探测样本数 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变量2 (LWP) 各格点内月平均液态水路径 （g/m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  <w:vertAlign w:val="baseline"/>
              </w:rPr>
              <w:t>2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）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变量3 (IWP) 各格点内月平均冰水路径（g/m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  <w:vertAlign w:val="baseline"/>
              </w:rPr>
              <w:t>2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）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变量4 (LWPN)各格点内计算平均月液态水路径的样本数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变量5 (IWPN)各格点内计算平均月冰水路径的样本数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数据二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200706-REF.bin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变量1 (v1)雷达反射率平均廓线（dBZ）（80层，0.125-19.875km,间隔0.25 km）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变量2 (v2)水粒子有效半径平均廓线（µm）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变量3 (v3)液态水含量平均廓线（mg/m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  <w:vertAlign w:val="baseline"/>
              </w:rPr>
              <w:t>3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）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变量4 (v4)水粒子数密度平均廓线（cm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  <w:vertAlign w:val="baseline"/>
              </w:rPr>
              <w:t>-3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）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变量5 (v5)冰粒子有效半径平均廓线（µm）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变量6 (v6)冰水含量平均廓线（mg/m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  <w:vertAlign w:val="baseline"/>
              </w:rPr>
              <w:t>3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）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变量7 (v7) 冰粒子数密度平均廓线（L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  <w:vertAlign w:val="baseline"/>
              </w:rPr>
              <w:t>-1</w:t>
            </w: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）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变量8 (v8)雷达反射率有效样本廓线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变量9 (v9)水粒子有效半径有效样本廓线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变量10(v10)液态水含量有效样本廓线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变量11(v11) 水粒子数密度有效样本廓线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变量12(v12)冰粒子有效半径有效样本廓线</w:t>
            </w:r>
          </w:p>
          <w:p>
            <w:pPr>
              <w:spacing w:line="240" w:lineRule="auto"/>
              <w:jc w:val="left"/>
              <w:rPr>
                <w:rFonts w:hint="eastAsia"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变量13(v13) 冰水含量有效样本廓线</w:t>
            </w:r>
          </w:p>
          <w:p>
            <w:pPr>
              <w:spacing w:line="240" w:lineRule="auto"/>
              <w:jc w:val="left"/>
            </w:pPr>
            <w:r>
              <w:rPr>
                <w:rFonts w:hint="eastAsia" w:ascii="Calibri" w:hAnsi="Calibri" w:eastAsia="宋体"/>
                <w:color w:val="auto"/>
                <w:sz w:val="21"/>
                <w:szCs w:val="22"/>
              </w:rPr>
              <w:t>变量14(v14) 冰粒子数密度有效样本廓线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四、产品支持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1产品负责人姓名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 xml:space="preserve"> 傅云飞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2产品负责人电话（手机）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3产品负责人电话（座机）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4产品负责人电邮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 xml:space="preserve"> </w:t>
            </w:r>
            <w:r>
              <w:rPr>
                <w:rFonts w:hint="eastAsia"/>
              </w:rPr>
              <w:t>fyf@ustc.edu.cn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5产品负责人单位名称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 xml:space="preserve"> 中国科技大学 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五</w:t>
            </w:r>
            <w:r>
              <w:t>、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引用</w:t>
            </w:r>
            <w:r>
              <w:t>文献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210" w:firstLineChars="100"/>
            </w:pPr>
            <w:r>
              <w:rPr>
                <w:rFonts w:ascii="Calibri" w:hAnsi="Calibri"/>
                <w:kern w:val="2"/>
                <w:szCs w:val="22"/>
              </w:rPr>
              <w:t xml:space="preserve">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4B"/>
    <w:rsid w:val="000043D5"/>
    <w:rsid w:val="00004948"/>
    <w:rsid w:val="00010C75"/>
    <w:rsid w:val="000176F0"/>
    <w:rsid w:val="00031C22"/>
    <w:rsid w:val="00034BDC"/>
    <w:rsid w:val="000517F6"/>
    <w:rsid w:val="00070359"/>
    <w:rsid w:val="000760E3"/>
    <w:rsid w:val="00084CFF"/>
    <w:rsid w:val="00094B3B"/>
    <w:rsid w:val="000A1E64"/>
    <w:rsid w:val="000B0372"/>
    <w:rsid w:val="000B1529"/>
    <w:rsid w:val="000B4E74"/>
    <w:rsid w:val="000B54BA"/>
    <w:rsid w:val="000D04BD"/>
    <w:rsid w:val="000D5A5A"/>
    <w:rsid w:val="000F31DE"/>
    <w:rsid w:val="0010176F"/>
    <w:rsid w:val="00131A05"/>
    <w:rsid w:val="001515D7"/>
    <w:rsid w:val="0015172F"/>
    <w:rsid w:val="001777E7"/>
    <w:rsid w:val="00184FCD"/>
    <w:rsid w:val="001C2E9E"/>
    <w:rsid w:val="001D192A"/>
    <w:rsid w:val="001D7D59"/>
    <w:rsid w:val="001E6EB7"/>
    <w:rsid w:val="00201616"/>
    <w:rsid w:val="00205703"/>
    <w:rsid w:val="00237E1D"/>
    <w:rsid w:val="00244A92"/>
    <w:rsid w:val="00251A69"/>
    <w:rsid w:val="00266CE0"/>
    <w:rsid w:val="00274FDD"/>
    <w:rsid w:val="0027610C"/>
    <w:rsid w:val="00280495"/>
    <w:rsid w:val="0028099B"/>
    <w:rsid w:val="00282702"/>
    <w:rsid w:val="00282E2F"/>
    <w:rsid w:val="00283CDE"/>
    <w:rsid w:val="002A18B3"/>
    <w:rsid w:val="002A4415"/>
    <w:rsid w:val="002D2A2F"/>
    <w:rsid w:val="00300C70"/>
    <w:rsid w:val="00303476"/>
    <w:rsid w:val="00313CC4"/>
    <w:rsid w:val="00332779"/>
    <w:rsid w:val="00332EDA"/>
    <w:rsid w:val="0033592C"/>
    <w:rsid w:val="00340845"/>
    <w:rsid w:val="00347194"/>
    <w:rsid w:val="0037093D"/>
    <w:rsid w:val="0037179C"/>
    <w:rsid w:val="003734A0"/>
    <w:rsid w:val="00390B2F"/>
    <w:rsid w:val="00390BEA"/>
    <w:rsid w:val="003A5CD8"/>
    <w:rsid w:val="003A6D5B"/>
    <w:rsid w:val="003C07F1"/>
    <w:rsid w:val="003C16D4"/>
    <w:rsid w:val="003D089E"/>
    <w:rsid w:val="003D6254"/>
    <w:rsid w:val="003D6F02"/>
    <w:rsid w:val="003F4C25"/>
    <w:rsid w:val="00403A47"/>
    <w:rsid w:val="00421AD1"/>
    <w:rsid w:val="00424E63"/>
    <w:rsid w:val="00445BC5"/>
    <w:rsid w:val="004510FD"/>
    <w:rsid w:val="00461448"/>
    <w:rsid w:val="00473997"/>
    <w:rsid w:val="00473D75"/>
    <w:rsid w:val="004B50A6"/>
    <w:rsid w:val="004C0D52"/>
    <w:rsid w:val="004C102B"/>
    <w:rsid w:val="004D784D"/>
    <w:rsid w:val="004E1434"/>
    <w:rsid w:val="004F13A2"/>
    <w:rsid w:val="004F4E0E"/>
    <w:rsid w:val="004F536E"/>
    <w:rsid w:val="0050457D"/>
    <w:rsid w:val="00507944"/>
    <w:rsid w:val="00530B01"/>
    <w:rsid w:val="00531D0E"/>
    <w:rsid w:val="005360D7"/>
    <w:rsid w:val="005566D4"/>
    <w:rsid w:val="005620D3"/>
    <w:rsid w:val="00577D10"/>
    <w:rsid w:val="00580837"/>
    <w:rsid w:val="00592F25"/>
    <w:rsid w:val="005B0F74"/>
    <w:rsid w:val="005B2CF5"/>
    <w:rsid w:val="005B3EA3"/>
    <w:rsid w:val="005E6EB5"/>
    <w:rsid w:val="00607DA1"/>
    <w:rsid w:val="0061702A"/>
    <w:rsid w:val="006273B9"/>
    <w:rsid w:val="00636445"/>
    <w:rsid w:val="00643F80"/>
    <w:rsid w:val="00646E1D"/>
    <w:rsid w:val="00661717"/>
    <w:rsid w:val="006717EC"/>
    <w:rsid w:val="00680573"/>
    <w:rsid w:val="00683258"/>
    <w:rsid w:val="006868AA"/>
    <w:rsid w:val="00687EA7"/>
    <w:rsid w:val="00690A1A"/>
    <w:rsid w:val="006916A7"/>
    <w:rsid w:val="006B23EF"/>
    <w:rsid w:val="006C41CB"/>
    <w:rsid w:val="006C70C1"/>
    <w:rsid w:val="006E73B5"/>
    <w:rsid w:val="00715A1B"/>
    <w:rsid w:val="007401D2"/>
    <w:rsid w:val="0076728F"/>
    <w:rsid w:val="00774EE9"/>
    <w:rsid w:val="00782EA9"/>
    <w:rsid w:val="007928B0"/>
    <w:rsid w:val="007A243B"/>
    <w:rsid w:val="007C515A"/>
    <w:rsid w:val="007E1811"/>
    <w:rsid w:val="007F5845"/>
    <w:rsid w:val="00805A2C"/>
    <w:rsid w:val="00807F8E"/>
    <w:rsid w:val="0084500B"/>
    <w:rsid w:val="00852D32"/>
    <w:rsid w:val="00855F29"/>
    <w:rsid w:val="008671F5"/>
    <w:rsid w:val="0087277E"/>
    <w:rsid w:val="00883067"/>
    <w:rsid w:val="008B01E6"/>
    <w:rsid w:val="008D09E5"/>
    <w:rsid w:val="008D25CD"/>
    <w:rsid w:val="008F5EBD"/>
    <w:rsid w:val="00907B78"/>
    <w:rsid w:val="009226D5"/>
    <w:rsid w:val="00937053"/>
    <w:rsid w:val="00954809"/>
    <w:rsid w:val="0095785D"/>
    <w:rsid w:val="00987E5C"/>
    <w:rsid w:val="009A26AF"/>
    <w:rsid w:val="009B2AD6"/>
    <w:rsid w:val="009B7C45"/>
    <w:rsid w:val="009B7CE0"/>
    <w:rsid w:val="009C07C3"/>
    <w:rsid w:val="009E1068"/>
    <w:rsid w:val="009F0510"/>
    <w:rsid w:val="00A0022E"/>
    <w:rsid w:val="00A02FE3"/>
    <w:rsid w:val="00A03B1E"/>
    <w:rsid w:val="00A207A3"/>
    <w:rsid w:val="00A34AB4"/>
    <w:rsid w:val="00A51B98"/>
    <w:rsid w:val="00A534E5"/>
    <w:rsid w:val="00A6369C"/>
    <w:rsid w:val="00A67564"/>
    <w:rsid w:val="00AA67D7"/>
    <w:rsid w:val="00AB620C"/>
    <w:rsid w:val="00AC5F6A"/>
    <w:rsid w:val="00AD5FF1"/>
    <w:rsid w:val="00AE0E69"/>
    <w:rsid w:val="00AE2696"/>
    <w:rsid w:val="00AE2F03"/>
    <w:rsid w:val="00AF387D"/>
    <w:rsid w:val="00B04884"/>
    <w:rsid w:val="00B06825"/>
    <w:rsid w:val="00B075F5"/>
    <w:rsid w:val="00B17322"/>
    <w:rsid w:val="00B21F83"/>
    <w:rsid w:val="00B24B21"/>
    <w:rsid w:val="00B333B6"/>
    <w:rsid w:val="00B3530F"/>
    <w:rsid w:val="00B45002"/>
    <w:rsid w:val="00B62839"/>
    <w:rsid w:val="00B748B8"/>
    <w:rsid w:val="00B83E5E"/>
    <w:rsid w:val="00B85553"/>
    <w:rsid w:val="00B90122"/>
    <w:rsid w:val="00B95523"/>
    <w:rsid w:val="00BA23F2"/>
    <w:rsid w:val="00BA4BFF"/>
    <w:rsid w:val="00BC6744"/>
    <w:rsid w:val="00BD335F"/>
    <w:rsid w:val="00BE6C6F"/>
    <w:rsid w:val="00BE791C"/>
    <w:rsid w:val="00C0223D"/>
    <w:rsid w:val="00C20CE5"/>
    <w:rsid w:val="00C21D95"/>
    <w:rsid w:val="00C2299F"/>
    <w:rsid w:val="00C31C74"/>
    <w:rsid w:val="00C64FE5"/>
    <w:rsid w:val="00C6782D"/>
    <w:rsid w:val="00C962C0"/>
    <w:rsid w:val="00CC51C0"/>
    <w:rsid w:val="00CC6073"/>
    <w:rsid w:val="00CD44EA"/>
    <w:rsid w:val="00CD469A"/>
    <w:rsid w:val="00CF052D"/>
    <w:rsid w:val="00D00685"/>
    <w:rsid w:val="00D03D5F"/>
    <w:rsid w:val="00D1465F"/>
    <w:rsid w:val="00D24D51"/>
    <w:rsid w:val="00D32841"/>
    <w:rsid w:val="00D34FB1"/>
    <w:rsid w:val="00D4624A"/>
    <w:rsid w:val="00D53AB8"/>
    <w:rsid w:val="00D628DE"/>
    <w:rsid w:val="00D76561"/>
    <w:rsid w:val="00DA72F8"/>
    <w:rsid w:val="00DB1806"/>
    <w:rsid w:val="00DB4F79"/>
    <w:rsid w:val="00DC3B43"/>
    <w:rsid w:val="00DD4775"/>
    <w:rsid w:val="00DE041D"/>
    <w:rsid w:val="00DF5E3F"/>
    <w:rsid w:val="00E10268"/>
    <w:rsid w:val="00E17191"/>
    <w:rsid w:val="00E41F41"/>
    <w:rsid w:val="00E43B98"/>
    <w:rsid w:val="00E5087A"/>
    <w:rsid w:val="00E667F7"/>
    <w:rsid w:val="00E66C9B"/>
    <w:rsid w:val="00E703CD"/>
    <w:rsid w:val="00E729FE"/>
    <w:rsid w:val="00E950A3"/>
    <w:rsid w:val="00EB17AA"/>
    <w:rsid w:val="00EB44BB"/>
    <w:rsid w:val="00EE65B5"/>
    <w:rsid w:val="00EF3C6E"/>
    <w:rsid w:val="00F20E8A"/>
    <w:rsid w:val="00F25A4B"/>
    <w:rsid w:val="00F52D89"/>
    <w:rsid w:val="00F538CA"/>
    <w:rsid w:val="00F54AD7"/>
    <w:rsid w:val="00F71D0E"/>
    <w:rsid w:val="00F86174"/>
    <w:rsid w:val="00FA75AC"/>
    <w:rsid w:val="00FE00CA"/>
    <w:rsid w:val="00FF443D"/>
    <w:rsid w:val="022C1CA1"/>
    <w:rsid w:val="0D265487"/>
    <w:rsid w:val="0D672DAF"/>
    <w:rsid w:val="15EB7304"/>
    <w:rsid w:val="20546797"/>
    <w:rsid w:val="22261312"/>
    <w:rsid w:val="22FF4034"/>
    <w:rsid w:val="2BA75EE5"/>
    <w:rsid w:val="398D0CD5"/>
    <w:rsid w:val="413B74C3"/>
    <w:rsid w:val="42F454E4"/>
    <w:rsid w:val="515E1980"/>
    <w:rsid w:val="5E35651C"/>
    <w:rsid w:val="6C123FAD"/>
    <w:rsid w:val="772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  <w:style w:type="paragraph" w:customStyle="1" w:styleId="19">
    <w:name w:val="段"/>
    <w:link w:val="2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0">
    <w:name w:val="段 Char"/>
    <w:link w:val="19"/>
    <w:qFormat/>
    <w:uiPriority w:val="0"/>
    <w:rPr>
      <w:rFonts w:ascii="宋体"/>
      <w:sz w:val="21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table" w:customStyle="1" w:styleId="22">
    <w:name w:val="清单表 1 浅色1"/>
    <w:basedOn w:val="7"/>
    <w:qFormat/>
    <w:uiPriority w:val="46"/>
    <w:rPr>
      <w:rFonts w:asciiTheme="minorHAnsi" w:hAnsiTheme="minorHAnsi" w:eastAsiaTheme="minorEastAsia"/>
      <w:sz w:val="22"/>
      <w:szCs w:val="22"/>
    </w:r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character" w:customStyle="1" w:styleId="23">
    <w:name w:val="fontstyle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657</Words>
  <Characters>3751</Characters>
  <Lines>31</Lines>
  <Paragraphs>8</Paragraphs>
  <TotalTime>1</TotalTime>
  <ScaleCrop>false</ScaleCrop>
  <LinksUpToDate>false</LinksUpToDate>
  <CharactersWithSpaces>4400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2019-09-23T09:18:00Z</dcterms:created>
  <dc:creator>hp</dc:creator>
  <cp:lastModifiedBy>赵2</cp:lastModifiedBy>
  <cp:lastPrinted>2015-12-02T00:49:00Z</cp:lastPrinted>
  <dcterms:modified xsi:type="dcterms:W3CDTF">2019-10-31T02:23:15Z</dcterms:modified>
  <dc:title>数据集说明文档（征求意见稿）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